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7C" w:rsidRDefault="004A798C">
      <w:r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118514</wp:posOffset>
            </wp:positionH>
            <wp:positionV relativeFrom="paragraph">
              <wp:posOffset>-310977</wp:posOffset>
            </wp:positionV>
            <wp:extent cx="5764542" cy="1311910"/>
            <wp:effectExtent l="0" t="0" r="7620" b="254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42" cy="1311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FE5" w:rsidRDefault="00B82FE5"/>
    <w:p w:rsidR="00B82FE5" w:rsidRDefault="00B82FE5"/>
    <w:p w:rsidR="00B82FE5" w:rsidRDefault="00CD23F3">
      <w:r w:rsidRPr="00CD23F3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8pt;margin-top:113.2pt;width:453.15pt;height:26pt;z-index:-251657728;visibility:visible;mso-wrap-distance-left:9.05pt;mso-wrap-distance-right:9.05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" stroked="f">
            <v:fill opacity="0"/>
            <v:textbox inset="0,0,0,0">
              <w:txbxContent>
                <w:p w:rsidR="00E62449" w:rsidRDefault="00E62449" w:rsidP="004A798C">
                  <w:pPr>
                    <w:spacing w:line="270" w:lineRule="exact"/>
                    <w:jc w:val="center"/>
                    <w:rPr>
                      <w:rFonts w:ascii="Arial" w:hAnsi="Arial" w:cs="Arial"/>
                      <w:b/>
                      <w:bCs/>
                      <w:color w:val="4FA76E"/>
                      <w:spacing w:val="518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A76E"/>
                      <w:sz w:val="26"/>
                      <w:szCs w:val="26"/>
                    </w:rPr>
                    <w:t>OBAVEŠTENJE ZA JAVNOST</w:t>
                  </w:r>
                </w:p>
              </w:txbxContent>
            </v:textbox>
            <w10:wrap anchory="page"/>
          </v:shape>
        </w:pict>
      </w:r>
    </w:p>
    <w:p w:rsidR="00067F4C" w:rsidRDefault="00067F4C" w:rsidP="00B82FE5">
      <w:pPr>
        <w:rPr>
          <w:rFonts w:ascii="Arial" w:hAnsi="Arial" w:cs="Arial"/>
          <w:bCs/>
          <w:color w:val="000000"/>
          <w:sz w:val="20"/>
          <w:szCs w:val="20"/>
        </w:rPr>
      </w:pPr>
    </w:p>
    <w:p w:rsidR="004A798C" w:rsidRDefault="00067F4C" w:rsidP="00616A1A">
      <w:pPr>
        <w:rPr>
          <w:rFonts w:ascii="Arial" w:hAnsi="Arial" w:cs="Arial"/>
          <w:bCs/>
          <w:color w:val="000000"/>
          <w:sz w:val="20"/>
          <w:szCs w:val="20"/>
        </w:rPr>
      </w:pPr>
      <w:r>
        <w:tab/>
      </w:r>
    </w:p>
    <w:p w:rsidR="004A798C" w:rsidRDefault="004A798C" w:rsidP="00616A1A">
      <w:pPr>
        <w:rPr>
          <w:rFonts w:ascii="Arial" w:hAnsi="Arial" w:cs="Arial"/>
          <w:bCs/>
          <w:color w:val="000000"/>
          <w:sz w:val="20"/>
          <w:szCs w:val="20"/>
        </w:rPr>
      </w:pPr>
    </w:p>
    <w:p w:rsidR="004A798C" w:rsidRDefault="004A798C" w:rsidP="00616A1A">
      <w:pPr>
        <w:rPr>
          <w:rFonts w:ascii="Arial" w:hAnsi="Arial" w:cs="Arial"/>
          <w:bCs/>
          <w:color w:val="000000"/>
          <w:sz w:val="20"/>
          <w:szCs w:val="20"/>
        </w:rPr>
      </w:pPr>
    </w:p>
    <w:p w:rsidR="004A798C" w:rsidRDefault="004A798C" w:rsidP="00616A1A">
      <w:pPr>
        <w:rPr>
          <w:rFonts w:ascii="Arial" w:hAnsi="Arial" w:cs="Arial"/>
          <w:bCs/>
          <w:color w:val="000000"/>
          <w:sz w:val="20"/>
          <w:szCs w:val="20"/>
        </w:rPr>
      </w:pPr>
    </w:p>
    <w:p w:rsidR="00E1453F" w:rsidRPr="00616A1A" w:rsidRDefault="004A798C" w:rsidP="00152D96">
      <w:pPr>
        <w:tabs>
          <w:tab w:val="left" w:pos="1134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Pariz/Majnc, 2. mart, 2016.</w:t>
      </w:r>
    </w:p>
    <w:p w:rsidR="00B4308D" w:rsidRPr="00141E28" w:rsidRDefault="00B4308D" w:rsidP="00FD73DC">
      <w:pPr>
        <w:spacing w:line="270" w:lineRule="exact"/>
        <w:ind w:right="-1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2D96" w:rsidRPr="002C4B04" w:rsidRDefault="00152D96" w:rsidP="002C4B04">
      <w:pPr>
        <w:widowControl/>
        <w:spacing w:line="270" w:lineRule="exact"/>
        <w:ind w:left="1134"/>
        <w:rPr>
          <w:rFonts w:ascii="Arial" w:eastAsia="Times New Roman" w:hAnsi="Arial" w:cs="Times New Roman"/>
          <w:b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Rizik za nemački izvoz značajno porastao</w:t>
      </w:r>
    </w:p>
    <w:p w:rsidR="00152D96" w:rsidRPr="00152D96" w:rsidRDefault="00152D96" w:rsidP="002C4B04">
      <w:pPr>
        <w:widowControl/>
        <w:ind w:left="1134"/>
        <w:rPr>
          <w:rFonts w:ascii="Arial" w:eastAsia="Times New Roman" w:hAnsi="Arial" w:cs="Times New Roman"/>
          <w:sz w:val="22"/>
        </w:rPr>
      </w:pPr>
    </w:p>
    <w:p w:rsidR="00152D96" w:rsidRPr="00E62449" w:rsidRDefault="00516C7F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bCs/>
          <w:sz w:val="22"/>
          <w:szCs w:val="22"/>
        </w:rPr>
        <w:t>Veći izvozni rizik sa kojim se suočavaju nemačke kompanije ometa rezultate rasta.</w:t>
      </w:r>
      <w:r w:rsidR="00A8686F">
        <w:rPr>
          <w:rFonts w:ascii="Arial" w:eastAsia="Times New Roman" w:hAnsi="Arial" w:cs="Times New Roman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Budući da Nemačka ima jake trgovinske veze sa grupom rastućih tržišta i ekonomija u razvoju, veoma je izložena strukturnim i cikličnim slabostima u okviru ovih ekonomija.</w:t>
      </w:r>
      <w:r w:rsidR="00A8686F">
        <w:rPr>
          <w:rFonts w:ascii="Arial" w:eastAsia="Times New Roman" w:hAnsi="Arial" w:cs="Times New Roman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sz w:val="22"/>
          <w:szCs w:val="22"/>
        </w:rPr>
        <w:t>„Ovi spoljni uticaji su trenutno negativni, jer se rast izvoza u rastuća tržištasmiruje i sada je mnogo slabiji od potražnje iz razvijenih ekonomija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“,</w:t>
      </w:r>
      <w:r w:rsidR="00A8686F">
        <w:rPr>
          <w:rFonts w:ascii="Arial" w:eastAsia="Times New Roman" w:hAnsi="Arial" w:cs="Times New Roman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objasnio je dr Mario Jung, regionalni ekonomista za region Severne Evrope u kompaniji Coface.</w:t>
      </w:r>
    </w:p>
    <w:p w:rsidR="004D6169" w:rsidRDefault="004D6169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4D6169" w:rsidRPr="002C4B04" w:rsidRDefault="004D6169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Nemačka ekonomija se suočava sa većim spoljnim rizicima</w:t>
      </w:r>
    </w:p>
    <w:p w:rsidR="00152D96" w:rsidRPr="00152D96" w:rsidRDefault="00152D96" w:rsidP="00152D96">
      <w:pPr>
        <w:widowControl/>
        <w:rPr>
          <w:rFonts w:ascii="Arial" w:eastAsia="Times New Roman" w:hAnsi="Arial" w:cs="Times New Roman"/>
          <w:sz w:val="22"/>
        </w:rPr>
      </w:pPr>
    </w:p>
    <w:p w:rsidR="00152D96" w:rsidRPr="002C4B04" w:rsidRDefault="00152D96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U 2016. godini nemački izvoz će verovatno pokazati iste trendove zabeležene u 2015. Rast izvoza u razvijene ekonomije treba da bude stabilan i robustan, dok su rizici izvoza mnogo veći za proizvode kojima su destinacija rastuća tržišta. Kombinacija globalnog rizik od političkih i vojnih sukoba, terorističkih napada i strukturnih izazova u mnogim rastućim tržištima, kao i slabljenje rasta kineskog BDP-a, još uvek opterećuju eksternu tražnju za nemačke proizvode. Ovaj pritisak na eksternu tražnju mogao bi postati još izraženiji.</w:t>
      </w:r>
    </w:p>
    <w:p w:rsidR="00152D96" w:rsidRPr="002C4B04" w:rsidRDefault="00152D96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</w:p>
    <w:p w:rsidR="00152D96" w:rsidRPr="002C4B04" w:rsidRDefault="00152D96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Iz regionalne perspektive, nemačke izvozne kompanije i dalje imaju najoptimističnije stanovište u pogledu budućeg poslovanja sa razvijenim ekonomijama. One predviđaju najslabiju perspektivu za ovu godinu u Južnoj i Centralnoj Americi, Istočnoj Evropi, Rusiji, Turskoj i Kini. Iz sektorske perspektive, neke od ključnih grana nemačke privrede su posebno osetljive na rizike koje proizilaze iz rastućih tržišta. Coface procenjuje da su najznačajniji rizici u automobilskom i mašinskom sektoru, pored sektora električne opreme. Dodatni rizici iz rastućih tržišta takođe se materijalizuju u hemijskoj industriji osetljivoj na ciklične uticaje.</w:t>
      </w:r>
    </w:p>
    <w:p w:rsidR="00152D96" w:rsidRDefault="00152D96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</w:p>
    <w:p w:rsidR="004D6169" w:rsidRPr="002C4B04" w:rsidRDefault="004D6169" w:rsidP="00E62449">
      <w:pPr>
        <w:widowControl/>
        <w:spacing w:line="270" w:lineRule="exact"/>
        <w:jc w:val="both"/>
        <w:rPr>
          <w:rFonts w:ascii="Arial" w:eastAsia="Times New Roman" w:hAnsi="Arial" w:cs="Times New Roman"/>
          <w:sz w:val="20"/>
          <w:szCs w:val="20"/>
        </w:rPr>
      </w:pPr>
    </w:p>
    <w:p w:rsidR="00152D96" w:rsidRPr="002C4B04" w:rsidRDefault="009202AA" w:rsidP="002C4B04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Skoro 29% od ukupnog izvoza u Nemačkoj dostavlja se rastućim tržištima. Od tog izvoza, više od petine se isporučuje Kini, što je jednako 6% ukupnih prekograničnih isporuka Nemačke. Taj udeo znači da je Nemačka više izložena spoljnim rizicima koji proizilaze iz rastućih tržišta nego većina drugih zemalja evrozone. U proseku, udeo rastućih tržišta u izvozu evrozone iznosi oko 26%.</w:t>
      </w:r>
    </w:p>
    <w:p w:rsidR="00152D96" w:rsidRPr="00152D96" w:rsidRDefault="00152D96" w:rsidP="00152D96">
      <w:pPr>
        <w:widowControl/>
        <w:rPr>
          <w:rFonts w:ascii="Arial" w:eastAsia="Times New Roman" w:hAnsi="Arial" w:cs="Times New Roman"/>
          <w:sz w:val="22"/>
        </w:rPr>
      </w:pPr>
    </w:p>
    <w:p w:rsidR="004D6169" w:rsidRDefault="00152D96" w:rsidP="004D6169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i/>
          <w:iCs/>
          <w:sz w:val="20"/>
          <w:szCs w:val="20"/>
        </w:rPr>
        <w:t>„Za izvozno orijentisana preduzeća, obnovljeni pad svetskih cena nafte razlog je za zabrinutost, jer ukazuje na slabu globalnu agregatnu tražnju.Osim toga, izgledi rasta za mnoga rastuća tržišta i dalje su prigušeni.Scenario za „postepeno prizemljenje“ u Kini takođe će imati negativan uticaj na izvozne industrije Nemačke,</w:t>
      </w:r>
      <w:r>
        <w:rPr>
          <w:rFonts w:ascii="Arial" w:eastAsia="Times New Roman" w:hAnsi="Arial" w:cs="Times New Roman"/>
          <w:sz w:val="22"/>
        </w:rPr>
        <w:t xml:space="preserve"> kaže </w:t>
      </w:r>
      <w:r>
        <w:rPr>
          <w:rFonts w:ascii="Arial" w:eastAsia="Times New Roman" w:hAnsi="Arial" w:cs="Times New Roman"/>
          <w:sz w:val="20"/>
          <w:szCs w:val="20"/>
        </w:rPr>
        <w:t xml:space="preserve">dr Mario Jung. </w:t>
      </w:r>
    </w:p>
    <w:p w:rsidR="004D6169" w:rsidRDefault="004D6169" w:rsidP="004D6169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</w:p>
    <w:p w:rsidR="00152D96" w:rsidRPr="00152D96" w:rsidRDefault="00152D96" w:rsidP="00152D96">
      <w:pPr>
        <w:widowControl/>
        <w:rPr>
          <w:rFonts w:ascii="Arial" w:eastAsia="Times New Roman" w:hAnsi="Arial" w:cs="Times New Roman"/>
          <w:sz w:val="22"/>
        </w:rPr>
      </w:pPr>
    </w:p>
    <w:p w:rsidR="004D6169" w:rsidRPr="00E62449" w:rsidRDefault="00152D96" w:rsidP="00B830F6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Nemačka ekonomija je promenila svoj model rasta tokom proteklih godina</w:t>
      </w:r>
    </w:p>
    <w:p w:rsidR="004D6169" w:rsidRDefault="004D6169" w:rsidP="00B830F6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</w:p>
    <w:p w:rsidR="00152D96" w:rsidRPr="00B830F6" w:rsidRDefault="00152D96" w:rsidP="00B830F6">
      <w:pPr>
        <w:widowControl/>
        <w:spacing w:line="270" w:lineRule="exact"/>
        <w:ind w:left="1134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Iako je unutrašnja potražnja - posebno privatna potrošnja - tokom većeg dela 2000-ih bila spora i slaba, sada predstavlja najvažniji pokretač rasta. Nasuprot tome, neto izvoz, koji je bio toliko važan za ekonomski razvoj Nemačke u prošlosti, u 2015. je bio relativno neutralan u pogledu ostvarenog rasta. Osim toga, neto izvoz će verovatno da uspori rast BDP-a u ovoj godini, zbog slabijeg razvoja izvoza i jakog neprekidnog rasta uvoza. Ipak, zahvaljujući snažnoj unutrašnjoj potražnji u zemlji, Coface predviđa rast BDP-a od 1,7% za ovu godinu.</w:t>
      </w:r>
    </w:p>
    <w:p w:rsidR="00152D96" w:rsidRPr="00152D96" w:rsidRDefault="00152D96" w:rsidP="00152D96">
      <w:pPr>
        <w:widowControl/>
        <w:rPr>
          <w:rFonts w:ascii="Arial" w:eastAsia="Times New Roman" w:hAnsi="Arial" w:cs="Times New Roman"/>
          <w:sz w:val="22"/>
        </w:rPr>
      </w:pPr>
    </w:p>
    <w:p w:rsidR="00152D96" w:rsidRPr="00152D96" w:rsidRDefault="00152D96" w:rsidP="00152D96">
      <w:pPr>
        <w:widowControl/>
        <w:rPr>
          <w:rFonts w:ascii="Arial" w:eastAsia="Times New Roman" w:hAnsi="Arial" w:cs="Times New Roman"/>
          <w:sz w:val="22"/>
        </w:rPr>
      </w:pPr>
    </w:p>
    <w:p w:rsidR="00380F47" w:rsidRPr="00E62449" w:rsidRDefault="00380F47" w:rsidP="00B82FE5">
      <w:pPr>
        <w:spacing w:line="276" w:lineRule="auto"/>
        <w:ind w:left="360"/>
        <w:jc w:val="right"/>
        <w:rPr>
          <w:rFonts w:ascii="Arial" w:hAnsi="Arial" w:cs="Arial"/>
          <w:bCs/>
          <w:i/>
          <w:color w:val="000000"/>
          <w:sz w:val="16"/>
          <w:szCs w:val="22"/>
        </w:rPr>
      </w:pPr>
    </w:p>
    <w:p w:rsidR="00152D96" w:rsidRPr="00152D96" w:rsidRDefault="00152D96" w:rsidP="00152D96">
      <w:pPr>
        <w:pStyle w:val="Footer"/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KONTAKTI ZA MEDIJE:</w:t>
      </w:r>
    </w:p>
    <w:p w:rsidR="00152D96" w:rsidRPr="00152D96" w:rsidRDefault="00152D96" w:rsidP="00152D96">
      <w:pPr>
        <w:pStyle w:val="Footer"/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 KRELLENSTEIN –  T. +33 (0)1 49 02 16 29 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maria.krellenstein@coface.com</w:t>
        </w:r>
      </w:hyperlink>
    </w:p>
    <w:p w:rsidR="00152D96" w:rsidRPr="00353EFE" w:rsidRDefault="00152D96" w:rsidP="00152D96">
      <w:pPr>
        <w:spacing w:line="200" w:lineRule="exact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Justine LANSAC –  T. +33 (0)1 49 02 24 48 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justine.lansac@coface.com</w:t>
        </w:r>
      </w:hyperlink>
    </w:p>
    <w:p w:rsidR="00537212" w:rsidRPr="00152D96" w:rsidRDefault="00537212" w:rsidP="00537212">
      <w:pPr>
        <w:rPr>
          <w:rFonts w:ascii="Arial" w:hAnsi="Arial" w:cs="Arial"/>
          <w:sz w:val="20"/>
          <w:szCs w:val="20"/>
        </w:rPr>
      </w:pPr>
    </w:p>
    <w:p w:rsidR="00D51331" w:rsidRPr="00152D96" w:rsidRDefault="00D51331" w:rsidP="00D51331">
      <w:pPr>
        <w:rPr>
          <w:rFonts w:ascii="Arial" w:hAnsi="Arial" w:cs="Arial"/>
          <w:i/>
          <w:iCs/>
          <w:sz w:val="14"/>
          <w:szCs w:val="20"/>
        </w:rPr>
      </w:pPr>
    </w:p>
    <w:tbl>
      <w:tblPr>
        <w:tblpPr w:leftFromText="141" w:rightFromText="141" w:vertAnchor="text" w:horzAnchor="margin" w:tblpY="58"/>
        <w:tblW w:w="8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40"/>
      </w:tblGrid>
      <w:tr w:rsidR="00D51331" w:rsidRPr="00FA67E9" w:rsidTr="007D36CE">
        <w:trPr>
          <w:trHeight w:val="220"/>
        </w:trPr>
        <w:tc>
          <w:tcPr>
            <w:tcW w:w="8540" w:type="dxa"/>
            <w:shd w:val="clear" w:color="auto" w:fill="E9EDF4"/>
          </w:tcPr>
          <w:p w:rsidR="00D51331" w:rsidRPr="00FA67E9" w:rsidRDefault="00D51331" w:rsidP="007D36CE">
            <w:pPr>
              <w:spacing w:line="200" w:lineRule="exact"/>
              <w:ind w:left="101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O kompaniji Coface</w:t>
            </w:r>
          </w:p>
          <w:p w:rsidR="00D51331" w:rsidRPr="00FA67E9" w:rsidRDefault="00D51331" w:rsidP="007D36CE">
            <w:pPr>
              <w:spacing w:line="200" w:lineRule="exact"/>
              <w:ind w:left="101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D51331" w:rsidRPr="00FA67E9" w:rsidRDefault="00D51331" w:rsidP="007D36CE">
            <w:pPr>
              <w:spacing w:line="240" w:lineRule="atLeast"/>
              <w:ind w:left="142" w:right="141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Grupa Coface, svetski lider u osiguranju potraživanja, kompanijama iz celog sveta nudi rešenja za zaštitu od rizika neizmirenja finansijskih obaveza od strane klijenata, kako na domaćem tržištu, tako i za izvoz. U 2015. godini, Grupa je, uz pomoć svojih ~4.500 zaposlenih, ostvarila konsolidovani prihod od 1,490 milijardi evra. Prisutna direktno ili posredno u 99 zemalja, Coface obezbeđuje transakcije 40.000 kompanija u više od 200 zemalja. U svakom kvartalu, Coface objavljuje procene rizika za 160 zemalja, na osnovu svog jedinstvenog znanja o platežnom ponašanju kompanija i na osnovu stručnosti svojih 340 osiguravača koji se nalaze blizu klijenata i njhovih dužnika.</w:t>
            </w:r>
          </w:p>
          <w:p w:rsidR="00D51331" w:rsidRPr="00FA67E9" w:rsidRDefault="00D51331" w:rsidP="007D36CE">
            <w:pPr>
              <w:spacing w:line="240" w:lineRule="atLeast"/>
              <w:ind w:left="142" w:right="141"/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U Francuskoj, Coface rukovodi izvozom javnih garancija u ime francuske države.</w:t>
            </w:r>
          </w:p>
          <w:p w:rsidR="00D51331" w:rsidRPr="00FA67E9" w:rsidRDefault="00CD23F3" w:rsidP="007D36CE">
            <w:pPr>
              <w:spacing w:before="60" w:after="60" w:line="240" w:lineRule="atLeast"/>
              <w:ind w:right="113"/>
              <w:jc w:val="center"/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</w:pPr>
            <w:hyperlink r:id="rId11" w:history="1">
              <w:r w:rsidR="00417F74">
                <w:rPr>
                  <w:rFonts w:ascii="Arial" w:hAnsi="Arial" w:cs="Arial"/>
                  <w:color w:val="0000FF"/>
                  <w:sz w:val="16"/>
                  <w:szCs w:val="18"/>
                  <w:u w:val="single"/>
                </w:rPr>
                <w:t>www.coface.com</w:t>
              </w:r>
            </w:hyperlink>
          </w:p>
          <w:p w:rsidR="00D51331" w:rsidRPr="00FA67E9" w:rsidRDefault="00D51331" w:rsidP="007D36CE">
            <w:pPr>
              <w:spacing w:before="60" w:after="60" w:line="240" w:lineRule="atLeast"/>
              <w:ind w:right="113"/>
              <w:jc w:val="center"/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</w:pPr>
            <w:r>
              <w:rPr>
                <w:noProof/>
                <w:sz w:val="22"/>
                <w:u w:val="single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9525</wp:posOffset>
                  </wp:positionV>
                  <wp:extent cx="519430" cy="514350"/>
                  <wp:effectExtent l="0" t="0" r="0" b="0"/>
                  <wp:wrapNone/>
                  <wp:docPr id="7" name="Image 7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51331" w:rsidRPr="00FA67E9" w:rsidRDefault="00D51331" w:rsidP="007D36CE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Coface SA. nalazi se na listingu odeljka A berze Euronext Paris</w:t>
            </w:r>
          </w:p>
          <w:p w:rsidR="00D51331" w:rsidRPr="00FA67E9" w:rsidRDefault="00D51331" w:rsidP="007D36CE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ISIN: FR0010667147 / Tiker: COFA</w:t>
            </w:r>
          </w:p>
          <w:p w:rsidR="00D51331" w:rsidRPr="00FA67E9" w:rsidRDefault="00D51331" w:rsidP="007D36CE">
            <w:pPr>
              <w:autoSpaceDE w:val="0"/>
              <w:autoSpaceDN w:val="0"/>
              <w:adjustRightInd w:val="0"/>
              <w:spacing w:line="240" w:lineRule="atLeast"/>
              <w:ind w:right="1587"/>
              <w:jc w:val="right"/>
              <w:rPr>
                <w:rFonts w:ascii="Arial" w:hAnsi="Arial" w:cs="Arial"/>
                <w:sz w:val="16"/>
                <w:szCs w:val="18"/>
              </w:rPr>
            </w:pPr>
          </w:p>
          <w:p w:rsidR="00D51331" w:rsidRPr="00FA67E9" w:rsidRDefault="00D51331" w:rsidP="007D36CE">
            <w:pPr>
              <w:spacing w:before="60" w:after="60"/>
              <w:ind w:right="113"/>
              <w:jc w:val="center"/>
              <w:rPr>
                <w:rFonts w:ascii="Arial" w:hAnsi="Arial" w:cs="Arial"/>
                <w:sz w:val="16"/>
                <w:szCs w:val="18"/>
                <w:u w:val="single"/>
              </w:rPr>
            </w:pPr>
          </w:p>
        </w:tc>
      </w:tr>
    </w:tbl>
    <w:p w:rsidR="00D51331" w:rsidRPr="00FA67E9" w:rsidRDefault="00D51331" w:rsidP="00D51331">
      <w:pPr>
        <w:suppressAutoHyphens/>
        <w:spacing w:line="27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51331" w:rsidRPr="00FA67E9" w:rsidRDefault="00D51331" w:rsidP="00D51331">
      <w:pPr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p w:rsidR="00D51331" w:rsidRPr="00FA67E9" w:rsidRDefault="00D51331" w:rsidP="00D51331">
      <w:pPr>
        <w:spacing w:line="180" w:lineRule="exact"/>
        <w:jc w:val="both"/>
        <w:rPr>
          <w:rFonts w:ascii="Arial" w:hAnsi="Arial" w:cs="Arial"/>
          <w:b/>
          <w:iCs/>
          <w:sz w:val="14"/>
          <w:szCs w:val="20"/>
        </w:rPr>
      </w:pPr>
    </w:p>
    <w:sectPr w:rsidR="00D51331" w:rsidRPr="00FA67E9" w:rsidSect="007C3993">
      <w:endnotePr>
        <w:numFmt w:val="decimal"/>
      </w:end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FF" w:rsidRDefault="003F3BFF" w:rsidP="00B82FE5">
      <w:r>
        <w:separator/>
      </w:r>
    </w:p>
  </w:endnote>
  <w:endnote w:type="continuationSeparator" w:id="1">
    <w:p w:rsidR="003F3BFF" w:rsidRDefault="003F3BFF" w:rsidP="00B8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FF" w:rsidRDefault="003F3BFF" w:rsidP="00B82FE5">
      <w:r>
        <w:separator/>
      </w:r>
    </w:p>
  </w:footnote>
  <w:footnote w:type="continuationSeparator" w:id="1">
    <w:p w:rsidR="003F3BFF" w:rsidRDefault="003F3BFF" w:rsidP="00B82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  <w:color w:val="61B57C"/>
        <w:w w:val="100"/>
      </w:rPr>
    </w:lvl>
  </w:abstractNum>
  <w:abstractNum w:abstractNumId="1">
    <w:nsid w:val="01821903"/>
    <w:multiLevelType w:val="hybridMultilevel"/>
    <w:tmpl w:val="1E82B0D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166"/>
    <w:multiLevelType w:val="multilevel"/>
    <w:tmpl w:val="79FE8B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olor w:val="000000" w:themeColor="text1"/>
        <w:sz w:val="22"/>
      </w:rPr>
    </w:lvl>
    <w:lvl w:ilvl="1">
      <w:start w:val="4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color w:val="000000" w:themeColor="text1"/>
        <w:sz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3">
    <w:nsid w:val="29ED3258"/>
    <w:multiLevelType w:val="hybridMultilevel"/>
    <w:tmpl w:val="1E82B0D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8DB"/>
    <w:multiLevelType w:val="hybridMultilevel"/>
    <w:tmpl w:val="CD2CB574"/>
    <w:lvl w:ilvl="0" w:tplc="4FF86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7127F"/>
    <w:multiLevelType w:val="hybridMultilevel"/>
    <w:tmpl w:val="69964148"/>
    <w:lvl w:ilvl="0" w:tplc="FD64B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D93193"/>
    <w:multiLevelType w:val="hybridMultilevel"/>
    <w:tmpl w:val="370E8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718B"/>
    <w:multiLevelType w:val="hybridMultilevel"/>
    <w:tmpl w:val="1E82B0D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B82FE5"/>
    <w:rsid w:val="000014F5"/>
    <w:rsid w:val="00011464"/>
    <w:rsid w:val="00021A63"/>
    <w:rsid w:val="00034CB4"/>
    <w:rsid w:val="00035A72"/>
    <w:rsid w:val="00064E60"/>
    <w:rsid w:val="00064FCD"/>
    <w:rsid w:val="00067F4C"/>
    <w:rsid w:val="00081581"/>
    <w:rsid w:val="000836B6"/>
    <w:rsid w:val="00085311"/>
    <w:rsid w:val="00085F25"/>
    <w:rsid w:val="00096E08"/>
    <w:rsid w:val="000A0DD4"/>
    <w:rsid w:val="000A435D"/>
    <w:rsid w:val="000B3C18"/>
    <w:rsid w:val="000B67D8"/>
    <w:rsid w:val="000B791C"/>
    <w:rsid w:val="000D0202"/>
    <w:rsid w:val="000D195D"/>
    <w:rsid w:val="000E2024"/>
    <w:rsid w:val="000E20D2"/>
    <w:rsid w:val="000E567E"/>
    <w:rsid w:val="000F5B67"/>
    <w:rsid w:val="00103D2E"/>
    <w:rsid w:val="00104D56"/>
    <w:rsid w:val="0011562F"/>
    <w:rsid w:val="00116FCF"/>
    <w:rsid w:val="001178B0"/>
    <w:rsid w:val="0012209E"/>
    <w:rsid w:val="00122B07"/>
    <w:rsid w:val="00141E28"/>
    <w:rsid w:val="00152D96"/>
    <w:rsid w:val="0015689A"/>
    <w:rsid w:val="0016027B"/>
    <w:rsid w:val="00161647"/>
    <w:rsid w:val="00162942"/>
    <w:rsid w:val="0016523D"/>
    <w:rsid w:val="00166A9D"/>
    <w:rsid w:val="00173ABA"/>
    <w:rsid w:val="001A67F5"/>
    <w:rsid w:val="001A7D3C"/>
    <w:rsid w:val="001B38AB"/>
    <w:rsid w:val="001C1B24"/>
    <w:rsid w:val="001D0B80"/>
    <w:rsid w:val="001D3214"/>
    <w:rsid w:val="001D3CA9"/>
    <w:rsid w:val="001D798A"/>
    <w:rsid w:val="001E2855"/>
    <w:rsid w:val="001E3E14"/>
    <w:rsid w:val="001F687C"/>
    <w:rsid w:val="002129AE"/>
    <w:rsid w:val="00216F58"/>
    <w:rsid w:val="00230317"/>
    <w:rsid w:val="00232923"/>
    <w:rsid w:val="00253517"/>
    <w:rsid w:val="00257496"/>
    <w:rsid w:val="00270E77"/>
    <w:rsid w:val="00274F8F"/>
    <w:rsid w:val="0029290C"/>
    <w:rsid w:val="002B0703"/>
    <w:rsid w:val="002B16C0"/>
    <w:rsid w:val="002B63CB"/>
    <w:rsid w:val="002B65F4"/>
    <w:rsid w:val="002C438E"/>
    <w:rsid w:val="002C4B04"/>
    <w:rsid w:val="002C72A5"/>
    <w:rsid w:val="002C7572"/>
    <w:rsid w:val="002D39C5"/>
    <w:rsid w:val="002D41F0"/>
    <w:rsid w:val="002D4554"/>
    <w:rsid w:val="002E7F81"/>
    <w:rsid w:val="002E7FC1"/>
    <w:rsid w:val="002F62E5"/>
    <w:rsid w:val="002F6E40"/>
    <w:rsid w:val="003009BD"/>
    <w:rsid w:val="00321319"/>
    <w:rsid w:val="00327F70"/>
    <w:rsid w:val="00335545"/>
    <w:rsid w:val="00341BE4"/>
    <w:rsid w:val="00343DD3"/>
    <w:rsid w:val="00353834"/>
    <w:rsid w:val="0035459D"/>
    <w:rsid w:val="00355705"/>
    <w:rsid w:val="0035693E"/>
    <w:rsid w:val="00363E00"/>
    <w:rsid w:val="00372B16"/>
    <w:rsid w:val="00376EEF"/>
    <w:rsid w:val="00380450"/>
    <w:rsid w:val="00380F47"/>
    <w:rsid w:val="00383F02"/>
    <w:rsid w:val="00385983"/>
    <w:rsid w:val="003A56F5"/>
    <w:rsid w:val="003A681A"/>
    <w:rsid w:val="003B4E59"/>
    <w:rsid w:val="003B6BFE"/>
    <w:rsid w:val="003B7017"/>
    <w:rsid w:val="003C0AD3"/>
    <w:rsid w:val="003C3D4D"/>
    <w:rsid w:val="003D0357"/>
    <w:rsid w:val="003E2F72"/>
    <w:rsid w:val="003E659B"/>
    <w:rsid w:val="003F3BFF"/>
    <w:rsid w:val="00400059"/>
    <w:rsid w:val="00412DBB"/>
    <w:rsid w:val="00416E27"/>
    <w:rsid w:val="00417F74"/>
    <w:rsid w:val="00432F3D"/>
    <w:rsid w:val="00434111"/>
    <w:rsid w:val="0043444E"/>
    <w:rsid w:val="0044182A"/>
    <w:rsid w:val="00450B00"/>
    <w:rsid w:val="004578A2"/>
    <w:rsid w:val="00484934"/>
    <w:rsid w:val="00490090"/>
    <w:rsid w:val="004A798C"/>
    <w:rsid w:val="004B53F0"/>
    <w:rsid w:val="004C2FE8"/>
    <w:rsid w:val="004C3D41"/>
    <w:rsid w:val="004C59BD"/>
    <w:rsid w:val="004C68D0"/>
    <w:rsid w:val="004D04C9"/>
    <w:rsid w:val="004D5346"/>
    <w:rsid w:val="004D6169"/>
    <w:rsid w:val="004E10F1"/>
    <w:rsid w:val="004E61C8"/>
    <w:rsid w:val="0051109E"/>
    <w:rsid w:val="00513614"/>
    <w:rsid w:val="00516C7F"/>
    <w:rsid w:val="00522F92"/>
    <w:rsid w:val="005247D3"/>
    <w:rsid w:val="00533883"/>
    <w:rsid w:val="00535452"/>
    <w:rsid w:val="00537212"/>
    <w:rsid w:val="005455DF"/>
    <w:rsid w:val="00580FD4"/>
    <w:rsid w:val="0058360E"/>
    <w:rsid w:val="005B5175"/>
    <w:rsid w:val="005C0F1F"/>
    <w:rsid w:val="005C2050"/>
    <w:rsid w:val="005D1CA9"/>
    <w:rsid w:val="005D7B55"/>
    <w:rsid w:val="005E1447"/>
    <w:rsid w:val="005E1A36"/>
    <w:rsid w:val="005F0260"/>
    <w:rsid w:val="005F3B37"/>
    <w:rsid w:val="006033C5"/>
    <w:rsid w:val="00616A1A"/>
    <w:rsid w:val="006205FA"/>
    <w:rsid w:val="006347B4"/>
    <w:rsid w:val="00647765"/>
    <w:rsid w:val="00652E58"/>
    <w:rsid w:val="00672056"/>
    <w:rsid w:val="006A610F"/>
    <w:rsid w:val="006B1C96"/>
    <w:rsid w:val="006B252C"/>
    <w:rsid w:val="006B6CCC"/>
    <w:rsid w:val="006C0B98"/>
    <w:rsid w:val="006C51EF"/>
    <w:rsid w:val="006E66B9"/>
    <w:rsid w:val="0070718E"/>
    <w:rsid w:val="00714C65"/>
    <w:rsid w:val="007170A8"/>
    <w:rsid w:val="007252DC"/>
    <w:rsid w:val="0072549F"/>
    <w:rsid w:val="007271C2"/>
    <w:rsid w:val="007317F3"/>
    <w:rsid w:val="00733859"/>
    <w:rsid w:val="00735DB1"/>
    <w:rsid w:val="007519FA"/>
    <w:rsid w:val="007522A0"/>
    <w:rsid w:val="007651BC"/>
    <w:rsid w:val="00765BF8"/>
    <w:rsid w:val="00766E05"/>
    <w:rsid w:val="0078572B"/>
    <w:rsid w:val="007937AF"/>
    <w:rsid w:val="00796DB9"/>
    <w:rsid w:val="007A4AF8"/>
    <w:rsid w:val="007A55CA"/>
    <w:rsid w:val="007B1155"/>
    <w:rsid w:val="007C3993"/>
    <w:rsid w:val="007C617A"/>
    <w:rsid w:val="007C6544"/>
    <w:rsid w:val="007D15BE"/>
    <w:rsid w:val="007D1D0E"/>
    <w:rsid w:val="007D36CE"/>
    <w:rsid w:val="007E26C7"/>
    <w:rsid w:val="007E2E3C"/>
    <w:rsid w:val="007E65C3"/>
    <w:rsid w:val="007F04BC"/>
    <w:rsid w:val="007F1A7B"/>
    <w:rsid w:val="00815464"/>
    <w:rsid w:val="008171E7"/>
    <w:rsid w:val="00822A9F"/>
    <w:rsid w:val="00837D3E"/>
    <w:rsid w:val="00857839"/>
    <w:rsid w:val="00860398"/>
    <w:rsid w:val="0087283E"/>
    <w:rsid w:val="00875CD2"/>
    <w:rsid w:val="00890FA7"/>
    <w:rsid w:val="008942E1"/>
    <w:rsid w:val="00897E37"/>
    <w:rsid w:val="008A5468"/>
    <w:rsid w:val="008B65D5"/>
    <w:rsid w:val="008C2463"/>
    <w:rsid w:val="008C755D"/>
    <w:rsid w:val="008E0B0A"/>
    <w:rsid w:val="008E2C5B"/>
    <w:rsid w:val="008E4177"/>
    <w:rsid w:val="008E4355"/>
    <w:rsid w:val="00900E23"/>
    <w:rsid w:val="00912461"/>
    <w:rsid w:val="00912A64"/>
    <w:rsid w:val="009202AA"/>
    <w:rsid w:val="00920490"/>
    <w:rsid w:val="009263EA"/>
    <w:rsid w:val="00926A88"/>
    <w:rsid w:val="0093671E"/>
    <w:rsid w:val="00946129"/>
    <w:rsid w:val="00956474"/>
    <w:rsid w:val="00957C85"/>
    <w:rsid w:val="00974B16"/>
    <w:rsid w:val="00977778"/>
    <w:rsid w:val="0097791F"/>
    <w:rsid w:val="00990321"/>
    <w:rsid w:val="009A48DF"/>
    <w:rsid w:val="009D29F9"/>
    <w:rsid w:val="009E0CC1"/>
    <w:rsid w:val="009E21F0"/>
    <w:rsid w:val="009F41AD"/>
    <w:rsid w:val="00A25B86"/>
    <w:rsid w:val="00A274EA"/>
    <w:rsid w:val="00A32B9F"/>
    <w:rsid w:val="00A33456"/>
    <w:rsid w:val="00A40FA9"/>
    <w:rsid w:val="00A41D73"/>
    <w:rsid w:val="00A43C91"/>
    <w:rsid w:val="00A501AC"/>
    <w:rsid w:val="00A551AE"/>
    <w:rsid w:val="00A56595"/>
    <w:rsid w:val="00A651DC"/>
    <w:rsid w:val="00A6577F"/>
    <w:rsid w:val="00A75A35"/>
    <w:rsid w:val="00A75FB2"/>
    <w:rsid w:val="00A82AFE"/>
    <w:rsid w:val="00A8686F"/>
    <w:rsid w:val="00A8722C"/>
    <w:rsid w:val="00A91727"/>
    <w:rsid w:val="00A93F7B"/>
    <w:rsid w:val="00A942D0"/>
    <w:rsid w:val="00A945A0"/>
    <w:rsid w:val="00AA25A0"/>
    <w:rsid w:val="00AB7196"/>
    <w:rsid w:val="00AB73F8"/>
    <w:rsid w:val="00AB7FBA"/>
    <w:rsid w:val="00AC56CF"/>
    <w:rsid w:val="00AD1004"/>
    <w:rsid w:val="00AD13C4"/>
    <w:rsid w:val="00AE2F8E"/>
    <w:rsid w:val="00AF2CBB"/>
    <w:rsid w:val="00AF5511"/>
    <w:rsid w:val="00B032A2"/>
    <w:rsid w:val="00B07DDD"/>
    <w:rsid w:val="00B122E6"/>
    <w:rsid w:val="00B31162"/>
    <w:rsid w:val="00B405B2"/>
    <w:rsid w:val="00B4308D"/>
    <w:rsid w:val="00B46E1F"/>
    <w:rsid w:val="00B534EE"/>
    <w:rsid w:val="00B55E16"/>
    <w:rsid w:val="00B70E2C"/>
    <w:rsid w:val="00B72361"/>
    <w:rsid w:val="00B733C2"/>
    <w:rsid w:val="00B762C1"/>
    <w:rsid w:val="00B7665B"/>
    <w:rsid w:val="00B77514"/>
    <w:rsid w:val="00B80D50"/>
    <w:rsid w:val="00B82FE5"/>
    <w:rsid w:val="00B830F6"/>
    <w:rsid w:val="00BA1118"/>
    <w:rsid w:val="00BA6785"/>
    <w:rsid w:val="00BA7780"/>
    <w:rsid w:val="00BB2470"/>
    <w:rsid w:val="00BC3A95"/>
    <w:rsid w:val="00BC3E22"/>
    <w:rsid w:val="00BC6390"/>
    <w:rsid w:val="00BE636D"/>
    <w:rsid w:val="00BF3914"/>
    <w:rsid w:val="00BF6BA1"/>
    <w:rsid w:val="00C00383"/>
    <w:rsid w:val="00C010CA"/>
    <w:rsid w:val="00C10BF3"/>
    <w:rsid w:val="00C13834"/>
    <w:rsid w:val="00C31CCB"/>
    <w:rsid w:val="00C337C2"/>
    <w:rsid w:val="00C34B11"/>
    <w:rsid w:val="00C34D66"/>
    <w:rsid w:val="00C35595"/>
    <w:rsid w:val="00C362D6"/>
    <w:rsid w:val="00C36BB0"/>
    <w:rsid w:val="00C44597"/>
    <w:rsid w:val="00C61556"/>
    <w:rsid w:val="00C72256"/>
    <w:rsid w:val="00C75408"/>
    <w:rsid w:val="00C77FBF"/>
    <w:rsid w:val="00C90679"/>
    <w:rsid w:val="00C95E56"/>
    <w:rsid w:val="00CA5778"/>
    <w:rsid w:val="00CC04F7"/>
    <w:rsid w:val="00CC36D4"/>
    <w:rsid w:val="00CC3841"/>
    <w:rsid w:val="00CC4E98"/>
    <w:rsid w:val="00CD23F3"/>
    <w:rsid w:val="00CD75F0"/>
    <w:rsid w:val="00CE177E"/>
    <w:rsid w:val="00CE6D14"/>
    <w:rsid w:val="00CE7C03"/>
    <w:rsid w:val="00CF39CA"/>
    <w:rsid w:val="00D067B6"/>
    <w:rsid w:val="00D12858"/>
    <w:rsid w:val="00D21B75"/>
    <w:rsid w:val="00D23B73"/>
    <w:rsid w:val="00D247DE"/>
    <w:rsid w:val="00D410AE"/>
    <w:rsid w:val="00D51331"/>
    <w:rsid w:val="00D53A93"/>
    <w:rsid w:val="00D67205"/>
    <w:rsid w:val="00D673C8"/>
    <w:rsid w:val="00D80C81"/>
    <w:rsid w:val="00D8441E"/>
    <w:rsid w:val="00D936E4"/>
    <w:rsid w:val="00D949A5"/>
    <w:rsid w:val="00D97A8C"/>
    <w:rsid w:val="00DA2AF0"/>
    <w:rsid w:val="00DA3E06"/>
    <w:rsid w:val="00DA7AEA"/>
    <w:rsid w:val="00DB6AE8"/>
    <w:rsid w:val="00DB7EC8"/>
    <w:rsid w:val="00DD28D9"/>
    <w:rsid w:val="00DD3B9E"/>
    <w:rsid w:val="00DE4775"/>
    <w:rsid w:val="00DF127F"/>
    <w:rsid w:val="00DF2015"/>
    <w:rsid w:val="00DF47F7"/>
    <w:rsid w:val="00DF7845"/>
    <w:rsid w:val="00E0652C"/>
    <w:rsid w:val="00E1453F"/>
    <w:rsid w:val="00E15FFB"/>
    <w:rsid w:val="00E333DC"/>
    <w:rsid w:val="00E57C7A"/>
    <w:rsid w:val="00E62449"/>
    <w:rsid w:val="00E6411E"/>
    <w:rsid w:val="00E66B95"/>
    <w:rsid w:val="00E67D59"/>
    <w:rsid w:val="00E70175"/>
    <w:rsid w:val="00E84568"/>
    <w:rsid w:val="00E9147B"/>
    <w:rsid w:val="00E94E46"/>
    <w:rsid w:val="00E959B5"/>
    <w:rsid w:val="00EA7995"/>
    <w:rsid w:val="00ED2BBE"/>
    <w:rsid w:val="00ED352E"/>
    <w:rsid w:val="00ED4584"/>
    <w:rsid w:val="00EE1D56"/>
    <w:rsid w:val="00EE4A6F"/>
    <w:rsid w:val="00F05067"/>
    <w:rsid w:val="00F07383"/>
    <w:rsid w:val="00F101EC"/>
    <w:rsid w:val="00F10FED"/>
    <w:rsid w:val="00F17C32"/>
    <w:rsid w:val="00F242CB"/>
    <w:rsid w:val="00F27CE7"/>
    <w:rsid w:val="00F31E26"/>
    <w:rsid w:val="00F3450E"/>
    <w:rsid w:val="00F45A18"/>
    <w:rsid w:val="00F4640A"/>
    <w:rsid w:val="00F55607"/>
    <w:rsid w:val="00F65829"/>
    <w:rsid w:val="00F6683B"/>
    <w:rsid w:val="00F66E23"/>
    <w:rsid w:val="00F975D5"/>
    <w:rsid w:val="00FA1FCD"/>
    <w:rsid w:val="00FB449B"/>
    <w:rsid w:val="00FB78AE"/>
    <w:rsid w:val="00FC11FC"/>
    <w:rsid w:val="00FC428E"/>
    <w:rsid w:val="00FC4E64"/>
    <w:rsid w:val="00FD32BB"/>
    <w:rsid w:val="00FD3FC3"/>
    <w:rsid w:val="00FD73DC"/>
    <w:rsid w:val="00FE0AC2"/>
    <w:rsid w:val="00FE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5"/>
    <w:pPr>
      <w:widowControl w:val="0"/>
      <w:spacing w:after="0" w:line="240" w:lineRule="auto"/>
    </w:pPr>
    <w:rPr>
      <w:rFonts w:ascii="Cambria" w:eastAsia="MS Mincho" w:hAnsi="Cambria" w:cs="Cambria"/>
      <w:sz w:val="24"/>
      <w:szCs w:val="24"/>
      <w:lang w:val="fr-FR" w:eastAsia="ar-SA"/>
    </w:rPr>
  </w:style>
  <w:style w:type="paragraph" w:styleId="Heading1">
    <w:name w:val="heading 1"/>
    <w:basedOn w:val="Normal"/>
    <w:next w:val="Heading2"/>
    <w:link w:val="Heading1Char"/>
    <w:qFormat/>
    <w:rsid w:val="00C95E56"/>
    <w:pPr>
      <w:keepNext/>
      <w:keepLines/>
      <w:pageBreakBefore/>
      <w:numPr>
        <w:numId w:val="8"/>
      </w:numPr>
      <w:spacing w:before="120" w:after="180"/>
      <w:jc w:val="both"/>
      <w:outlineLvl w:val="0"/>
    </w:pPr>
    <w:rPr>
      <w:rFonts w:ascii="Times New Roman" w:hAnsi="Times New Roman" w:cs="Times New Roman"/>
      <w:b/>
      <w:bCs/>
      <w:cap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95E56"/>
    <w:pPr>
      <w:widowControl/>
      <w:numPr>
        <w:ilvl w:val="1"/>
        <w:numId w:val="8"/>
      </w:numPr>
      <w:spacing w:before="120" w:after="180"/>
      <w:jc w:val="both"/>
      <w:outlineLvl w:val="1"/>
    </w:pPr>
    <w:rPr>
      <w:rFonts w:ascii="Times New Roman Bold" w:hAnsi="Times New Roman Bold" w:cs="Times New Roman"/>
      <w:b/>
      <w:color w:val="000000" w:themeColor="text1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C95E56"/>
    <w:pPr>
      <w:widowControl/>
      <w:numPr>
        <w:ilvl w:val="2"/>
        <w:numId w:val="8"/>
      </w:numPr>
      <w:spacing w:before="120" w:after="180"/>
      <w:jc w:val="both"/>
      <w:outlineLvl w:val="2"/>
    </w:pPr>
    <w:rPr>
      <w:rFonts w:ascii="Times New Roman" w:hAnsi="Times New Roman" w:cs="Times New Roman"/>
      <w:b/>
      <w:sz w:val="22"/>
      <w:szCs w:val="22"/>
      <w:lang w:eastAsia="en-US"/>
    </w:rPr>
  </w:style>
  <w:style w:type="paragraph" w:styleId="Heading6">
    <w:name w:val="heading 6"/>
    <w:basedOn w:val="Normal"/>
    <w:link w:val="Heading6Char"/>
    <w:qFormat/>
    <w:rsid w:val="00C95E56"/>
    <w:pPr>
      <w:widowControl/>
      <w:numPr>
        <w:ilvl w:val="5"/>
        <w:numId w:val="8"/>
      </w:numPr>
      <w:spacing w:before="120" w:after="180"/>
      <w:jc w:val="both"/>
      <w:outlineLvl w:val="5"/>
    </w:pPr>
    <w:rPr>
      <w:rFonts w:ascii="Times New Roman" w:hAnsi="Times New Roman" w:cs="Times New Roman"/>
      <w:sz w:val="22"/>
      <w:szCs w:val="22"/>
      <w:lang w:eastAsia="en-US"/>
    </w:rPr>
  </w:style>
  <w:style w:type="paragraph" w:styleId="Heading7">
    <w:name w:val="heading 7"/>
    <w:basedOn w:val="Normal"/>
    <w:link w:val="Heading7Char"/>
    <w:qFormat/>
    <w:rsid w:val="00C95E56"/>
    <w:pPr>
      <w:widowControl/>
      <w:numPr>
        <w:ilvl w:val="6"/>
        <w:numId w:val="8"/>
      </w:numPr>
      <w:spacing w:before="120" w:after="180"/>
      <w:jc w:val="both"/>
      <w:outlineLvl w:val="6"/>
    </w:pPr>
    <w:rPr>
      <w:rFonts w:ascii="Times New Roman" w:hAnsi="Times New Roman" w:cs="Times New Roman"/>
      <w:sz w:val="22"/>
      <w:szCs w:val="22"/>
      <w:lang w:eastAsia="en-US"/>
    </w:rPr>
  </w:style>
  <w:style w:type="paragraph" w:styleId="Heading8">
    <w:name w:val="heading 8"/>
    <w:basedOn w:val="Normal"/>
    <w:link w:val="Heading8Char"/>
    <w:qFormat/>
    <w:rsid w:val="00C95E56"/>
    <w:pPr>
      <w:widowControl/>
      <w:numPr>
        <w:ilvl w:val="7"/>
        <w:numId w:val="8"/>
      </w:numPr>
      <w:spacing w:before="120" w:after="180"/>
      <w:jc w:val="both"/>
      <w:outlineLvl w:val="7"/>
    </w:pPr>
    <w:rPr>
      <w:rFonts w:ascii="Times New Roman" w:hAnsi="Times New Roman" w:cs="Times New Roman"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82F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FE5"/>
    <w:rPr>
      <w:rFonts w:ascii="Cambria" w:eastAsia="MS Mincho" w:hAnsi="Cambria" w:cs="Cambria"/>
      <w:sz w:val="20"/>
      <w:szCs w:val="20"/>
      <w:lang w:val="fr-FR" w:eastAsia="ar-SA"/>
    </w:rPr>
  </w:style>
  <w:style w:type="character" w:styleId="FootnoteReference">
    <w:name w:val="footnote reference"/>
    <w:uiPriority w:val="99"/>
    <w:rsid w:val="00B82F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F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E5"/>
    <w:rPr>
      <w:rFonts w:ascii="Cambria" w:eastAsia="MS Mincho" w:hAnsi="Cambria" w:cs="Cambria"/>
      <w:sz w:val="24"/>
      <w:szCs w:val="24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B82F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E5"/>
    <w:rPr>
      <w:rFonts w:ascii="Cambria" w:eastAsia="MS Mincho" w:hAnsi="Cambria" w:cs="Cambria"/>
      <w:sz w:val="24"/>
      <w:szCs w:val="24"/>
      <w:lang w:val="fr-FR" w:eastAsia="ar-SA"/>
    </w:rPr>
  </w:style>
  <w:style w:type="paragraph" w:customStyle="1" w:styleId="Textedesaisie">
    <w:name w:val="Texte de saisie"/>
    <w:basedOn w:val="Normal"/>
    <w:rsid w:val="00A75A35"/>
    <w:pPr>
      <w:spacing w:line="260" w:lineRule="atLeast"/>
      <w:jc w:val="both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35"/>
    <w:pPr>
      <w:ind w:left="708"/>
    </w:pPr>
  </w:style>
  <w:style w:type="character" w:styleId="Hyperlink">
    <w:name w:val="Hyperlink"/>
    <w:uiPriority w:val="99"/>
    <w:rsid w:val="00D936E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519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19FA"/>
    <w:rPr>
      <w:rFonts w:ascii="Cambria" w:eastAsia="MS Mincho" w:hAnsi="Cambria" w:cs="Cambria"/>
      <w:sz w:val="20"/>
      <w:szCs w:val="20"/>
      <w:lang w:val="fr-FR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519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E"/>
    <w:rPr>
      <w:rFonts w:ascii="Tahoma" w:eastAsia="MS Mincho" w:hAnsi="Tahoma" w:cs="Tahoma"/>
      <w:sz w:val="16"/>
      <w:szCs w:val="16"/>
      <w:lang w:val="fr-FR" w:eastAsia="ar-SA"/>
    </w:rPr>
  </w:style>
  <w:style w:type="paragraph" w:styleId="Revision">
    <w:name w:val="Revision"/>
    <w:hidden/>
    <w:uiPriority w:val="99"/>
    <w:semiHidden/>
    <w:rsid w:val="00DD3B9E"/>
    <w:pPr>
      <w:spacing w:after="0" w:line="240" w:lineRule="auto"/>
    </w:pPr>
    <w:rPr>
      <w:rFonts w:ascii="Cambria" w:eastAsia="MS Mincho" w:hAnsi="Cambria" w:cs="Cambria"/>
      <w:sz w:val="24"/>
      <w:szCs w:val="24"/>
      <w:lang w:val="fr-FR" w:eastAsia="ar-SA"/>
    </w:rPr>
  </w:style>
  <w:style w:type="paragraph" w:customStyle="1" w:styleId="Default">
    <w:name w:val="Default"/>
    <w:rsid w:val="00ED3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5E56"/>
    <w:rPr>
      <w:rFonts w:ascii="Times New Roman" w:eastAsia="MS Mincho" w:hAnsi="Times New Roman" w:cs="Times New Roman"/>
      <w:b/>
      <w:bCs/>
      <w:caps/>
      <w:lang w:val="fr-FR"/>
    </w:rPr>
  </w:style>
  <w:style w:type="character" w:customStyle="1" w:styleId="Heading2Char">
    <w:name w:val="Heading 2 Char"/>
    <w:basedOn w:val="DefaultParagraphFont"/>
    <w:link w:val="Heading2"/>
    <w:rsid w:val="00C95E56"/>
    <w:rPr>
      <w:rFonts w:ascii="Times New Roman Bold" w:eastAsia="MS Mincho" w:hAnsi="Times New Roman Bold" w:cs="Times New Roman"/>
      <w:b/>
      <w:color w:val="000000" w:themeColor="text1"/>
      <w:lang w:val="fr-FR"/>
    </w:rPr>
  </w:style>
  <w:style w:type="character" w:customStyle="1" w:styleId="Heading3Char">
    <w:name w:val="Heading 3 Char"/>
    <w:basedOn w:val="DefaultParagraphFont"/>
    <w:link w:val="Heading3"/>
    <w:rsid w:val="00C95E56"/>
    <w:rPr>
      <w:rFonts w:ascii="Times New Roman" w:eastAsia="MS Mincho" w:hAnsi="Times New Roman" w:cs="Times New Roman"/>
      <w:b/>
      <w:lang w:val="fr-FR"/>
    </w:rPr>
  </w:style>
  <w:style w:type="character" w:customStyle="1" w:styleId="Heading6Char">
    <w:name w:val="Heading 6 Char"/>
    <w:basedOn w:val="DefaultParagraphFont"/>
    <w:link w:val="Heading6"/>
    <w:rsid w:val="00C95E56"/>
    <w:rPr>
      <w:rFonts w:ascii="Times New Roman" w:eastAsia="MS Mincho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C95E56"/>
    <w:rPr>
      <w:rFonts w:ascii="Times New Roman" w:eastAsia="MS Mincho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C95E56"/>
    <w:rPr>
      <w:rFonts w:ascii="Times New Roman" w:eastAsia="MS Mincho" w:hAnsi="Times New Roman" w:cs="Times New Roman"/>
      <w:color w:val="000000" w:themeColor="text1"/>
      <w:lang w:val="fr-FR"/>
    </w:rPr>
  </w:style>
  <w:style w:type="paragraph" w:styleId="NormalWeb">
    <w:name w:val="Normal (Web)"/>
    <w:basedOn w:val="Normal"/>
    <w:uiPriority w:val="99"/>
    <w:semiHidden/>
    <w:unhideWhenUsed/>
    <w:rsid w:val="001D0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ps">
    <w:name w:val="hps"/>
    <w:basedOn w:val="DefaultParagraphFont"/>
    <w:rsid w:val="00D12858"/>
  </w:style>
  <w:style w:type="character" w:styleId="CommentReference">
    <w:name w:val="annotation reference"/>
    <w:basedOn w:val="DefaultParagraphFont"/>
    <w:uiPriority w:val="99"/>
    <w:semiHidden/>
    <w:unhideWhenUsed/>
    <w:rsid w:val="00D41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AE"/>
    <w:rPr>
      <w:rFonts w:ascii="Cambria" w:eastAsia="MS Mincho" w:hAnsi="Cambria" w:cs="Cambria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AE"/>
    <w:rPr>
      <w:rFonts w:ascii="Cambria" w:eastAsia="MS Mincho" w:hAnsi="Cambria" w:cs="Cambria"/>
      <w:b/>
      <w:bCs/>
      <w:sz w:val="20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E5"/>
    <w:pPr>
      <w:widowControl w:val="0"/>
      <w:spacing w:after="0" w:line="240" w:lineRule="auto"/>
    </w:pPr>
    <w:rPr>
      <w:rFonts w:ascii="Cambria" w:eastAsia="MS Mincho" w:hAnsi="Cambria" w:cs="Cambria"/>
      <w:sz w:val="24"/>
      <w:szCs w:val="24"/>
      <w:lang w:val="fr-FR" w:eastAsia="ar-SA"/>
    </w:rPr>
  </w:style>
  <w:style w:type="paragraph" w:styleId="berschrift1">
    <w:name w:val="heading 1"/>
    <w:basedOn w:val="Standard"/>
    <w:next w:val="berschrift2"/>
    <w:link w:val="berschrift1Zchn"/>
    <w:qFormat/>
    <w:rsid w:val="00C95E56"/>
    <w:pPr>
      <w:keepNext/>
      <w:keepLines/>
      <w:pageBreakBefore/>
      <w:numPr>
        <w:numId w:val="8"/>
      </w:numPr>
      <w:spacing w:before="120" w:after="180"/>
      <w:jc w:val="both"/>
      <w:outlineLvl w:val="0"/>
    </w:pPr>
    <w:rPr>
      <w:rFonts w:ascii="Times New Roman" w:hAnsi="Times New Roman" w:cs="Times New Roman"/>
      <w:b/>
      <w:bCs/>
      <w:caps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95E56"/>
    <w:pPr>
      <w:widowControl/>
      <w:numPr>
        <w:ilvl w:val="1"/>
        <w:numId w:val="8"/>
      </w:numPr>
      <w:spacing w:before="120" w:after="180"/>
      <w:jc w:val="both"/>
      <w:outlineLvl w:val="1"/>
    </w:pPr>
    <w:rPr>
      <w:rFonts w:ascii="Times New Roman Bold" w:hAnsi="Times New Roman Bold" w:cs="Times New Roman"/>
      <w:b/>
      <w:color w:val="000000" w:themeColor="text1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C95E56"/>
    <w:pPr>
      <w:widowControl/>
      <w:numPr>
        <w:ilvl w:val="2"/>
        <w:numId w:val="8"/>
      </w:numPr>
      <w:spacing w:before="120" w:after="180"/>
      <w:jc w:val="both"/>
      <w:outlineLvl w:val="2"/>
    </w:pPr>
    <w:rPr>
      <w:rFonts w:ascii="Times New Roman" w:hAnsi="Times New Roman" w:cs="Times New Roman"/>
      <w:b/>
      <w:sz w:val="22"/>
      <w:szCs w:val="22"/>
      <w:lang w:eastAsia="en-US"/>
    </w:rPr>
  </w:style>
  <w:style w:type="paragraph" w:styleId="berschrift6">
    <w:name w:val="heading 6"/>
    <w:basedOn w:val="Standard"/>
    <w:link w:val="berschrift6Zchn"/>
    <w:qFormat/>
    <w:rsid w:val="00C95E56"/>
    <w:pPr>
      <w:widowControl/>
      <w:numPr>
        <w:ilvl w:val="5"/>
        <w:numId w:val="8"/>
      </w:numPr>
      <w:spacing w:before="120" w:after="180"/>
      <w:jc w:val="both"/>
      <w:outlineLvl w:val="5"/>
    </w:pPr>
    <w:rPr>
      <w:rFonts w:ascii="Times New Roman" w:hAnsi="Times New Roman" w:cs="Times New Roman"/>
      <w:sz w:val="22"/>
      <w:szCs w:val="22"/>
      <w:lang w:eastAsia="en-US"/>
    </w:rPr>
  </w:style>
  <w:style w:type="paragraph" w:styleId="berschrift7">
    <w:name w:val="heading 7"/>
    <w:basedOn w:val="Standard"/>
    <w:link w:val="berschrift7Zchn"/>
    <w:qFormat/>
    <w:rsid w:val="00C95E56"/>
    <w:pPr>
      <w:widowControl/>
      <w:numPr>
        <w:ilvl w:val="6"/>
        <w:numId w:val="8"/>
      </w:numPr>
      <w:spacing w:before="120" w:after="180"/>
      <w:jc w:val="both"/>
      <w:outlineLvl w:val="6"/>
    </w:pPr>
    <w:rPr>
      <w:rFonts w:ascii="Times New Roman" w:hAnsi="Times New Roman" w:cs="Times New Roman"/>
      <w:sz w:val="22"/>
      <w:szCs w:val="22"/>
      <w:lang w:eastAsia="en-US"/>
    </w:rPr>
  </w:style>
  <w:style w:type="paragraph" w:styleId="berschrift8">
    <w:name w:val="heading 8"/>
    <w:basedOn w:val="Standard"/>
    <w:link w:val="berschrift8Zchn"/>
    <w:qFormat/>
    <w:rsid w:val="00C95E56"/>
    <w:pPr>
      <w:widowControl/>
      <w:numPr>
        <w:ilvl w:val="7"/>
        <w:numId w:val="8"/>
      </w:numPr>
      <w:spacing w:before="120" w:after="180"/>
      <w:jc w:val="both"/>
      <w:outlineLvl w:val="7"/>
    </w:pPr>
    <w:rPr>
      <w:rFonts w:ascii="Times New Roman" w:hAnsi="Times New Roman" w:cs="Times New Roman"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rsid w:val="00B82F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82FE5"/>
    <w:rPr>
      <w:rFonts w:ascii="Cambria" w:eastAsia="MS Mincho" w:hAnsi="Cambria" w:cs="Cambria"/>
      <w:sz w:val="20"/>
      <w:szCs w:val="20"/>
      <w:lang w:val="fr-FR" w:eastAsia="ar-SA"/>
    </w:rPr>
  </w:style>
  <w:style w:type="character" w:styleId="Funotenzeichen">
    <w:name w:val="footnote reference"/>
    <w:uiPriority w:val="99"/>
    <w:rsid w:val="00B82FE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82FE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FE5"/>
    <w:rPr>
      <w:rFonts w:ascii="Cambria" w:eastAsia="MS Mincho" w:hAnsi="Cambria" w:cs="Cambria"/>
      <w:sz w:val="24"/>
      <w:szCs w:val="24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B82FE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FE5"/>
    <w:rPr>
      <w:rFonts w:ascii="Cambria" w:eastAsia="MS Mincho" w:hAnsi="Cambria" w:cs="Cambria"/>
      <w:sz w:val="24"/>
      <w:szCs w:val="24"/>
      <w:lang w:val="fr-FR" w:eastAsia="ar-SA"/>
    </w:rPr>
  </w:style>
  <w:style w:type="paragraph" w:customStyle="1" w:styleId="Textedesaisie">
    <w:name w:val="Texte de saisie"/>
    <w:basedOn w:val="Standard"/>
    <w:rsid w:val="00A75A35"/>
    <w:pPr>
      <w:spacing w:line="260" w:lineRule="atLeast"/>
      <w:jc w:val="both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A75A35"/>
    <w:pPr>
      <w:ind w:left="708"/>
    </w:pPr>
  </w:style>
  <w:style w:type="character" w:styleId="Hyperlink">
    <w:name w:val="Hyperlink"/>
    <w:uiPriority w:val="99"/>
    <w:rsid w:val="00D936E4"/>
    <w:rPr>
      <w:rFonts w:cs="Times New Roman"/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7519F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519FA"/>
    <w:rPr>
      <w:rFonts w:ascii="Cambria" w:eastAsia="MS Mincho" w:hAnsi="Cambria" w:cs="Cambria"/>
      <w:sz w:val="20"/>
      <w:szCs w:val="20"/>
      <w:lang w:val="fr-FR"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7519F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83E"/>
    <w:rPr>
      <w:rFonts w:ascii="Tahoma" w:eastAsia="MS Mincho" w:hAnsi="Tahoma" w:cs="Tahoma"/>
      <w:sz w:val="16"/>
      <w:szCs w:val="16"/>
      <w:lang w:val="fr-FR" w:eastAsia="ar-SA"/>
    </w:rPr>
  </w:style>
  <w:style w:type="paragraph" w:styleId="berarbeitung">
    <w:name w:val="Revision"/>
    <w:hidden/>
    <w:uiPriority w:val="99"/>
    <w:semiHidden/>
    <w:rsid w:val="00DD3B9E"/>
    <w:pPr>
      <w:spacing w:after="0" w:line="240" w:lineRule="auto"/>
    </w:pPr>
    <w:rPr>
      <w:rFonts w:ascii="Cambria" w:eastAsia="MS Mincho" w:hAnsi="Cambria" w:cs="Cambria"/>
      <w:sz w:val="24"/>
      <w:szCs w:val="24"/>
      <w:lang w:val="fr-FR" w:eastAsia="ar-SA"/>
    </w:rPr>
  </w:style>
  <w:style w:type="paragraph" w:customStyle="1" w:styleId="Default">
    <w:name w:val="Default"/>
    <w:rsid w:val="00ED3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95E56"/>
    <w:rPr>
      <w:rFonts w:ascii="Times New Roman" w:eastAsia="MS Mincho" w:hAnsi="Times New Roman" w:cs="Times New Roman"/>
      <w:b/>
      <w:bCs/>
      <w:caps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C95E56"/>
    <w:rPr>
      <w:rFonts w:ascii="Times New Roman Bold" w:eastAsia="MS Mincho" w:hAnsi="Times New Roman Bold" w:cs="Times New Roman"/>
      <w:b/>
      <w:color w:val="000000" w:themeColor="text1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95E56"/>
    <w:rPr>
      <w:rFonts w:ascii="Times New Roman" w:eastAsia="MS Mincho" w:hAnsi="Times New Roman" w:cs="Times New Roman"/>
      <w:b/>
      <w:lang w:val="fr-FR"/>
    </w:rPr>
  </w:style>
  <w:style w:type="character" w:customStyle="1" w:styleId="berschrift6Zchn">
    <w:name w:val="Überschrift 6 Zchn"/>
    <w:basedOn w:val="Absatz-Standardschriftart"/>
    <w:link w:val="berschrift6"/>
    <w:rsid w:val="00C95E56"/>
    <w:rPr>
      <w:rFonts w:ascii="Times New Roman" w:eastAsia="MS Mincho" w:hAnsi="Times New Roman" w:cs="Times New Roman"/>
      <w:lang w:val="fr-FR"/>
    </w:rPr>
  </w:style>
  <w:style w:type="character" w:customStyle="1" w:styleId="berschrift7Zchn">
    <w:name w:val="Überschrift 7 Zchn"/>
    <w:basedOn w:val="Absatz-Standardschriftart"/>
    <w:link w:val="berschrift7"/>
    <w:rsid w:val="00C95E56"/>
    <w:rPr>
      <w:rFonts w:ascii="Times New Roman" w:eastAsia="MS Mincho" w:hAnsi="Times New Roman" w:cs="Times New Roman"/>
      <w:lang w:val="fr-FR"/>
    </w:rPr>
  </w:style>
  <w:style w:type="character" w:customStyle="1" w:styleId="berschrift8Zchn">
    <w:name w:val="Überschrift 8 Zchn"/>
    <w:basedOn w:val="Absatz-Standardschriftart"/>
    <w:link w:val="berschrift8"/>
    <w:rsid w:val="00C95E56"/>
    <w:rPr>
      <w:rFonts w:ascii="Times New Roman" w:eastAsia="MS Mincho" w:hAnsi="Times New Roman" w:cs="Times New Roman"/>
      <w:color w:val="000000" w:themeColor="text1"/>
      <w:lang w:val="fr-FR"/>
    </w:rPr>
  </w:style>
  <w:style w:type="paragraph" w:styleId="StandardWeb">
    <w:name w:val="Normal (Web)"/>
    <w:basedOn w:val="Standard"/>
    <w:uiPriority w:val="99"/>
    <w:semiHidden/>
    <w:unhideWhenUsed/>
    <w:rsid w:val="001D0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ps">
    <w:name w:val="hps"/>
    <w:basedOn w:val="Absatz-Standardschriftart"/>
    <w:rsid w:val="00D12858"/>
  </w:style>
  <w:style w:type="character" w:styleId="Kommentarzeichen">
    <w:name w:val="annotation reference"/>
    <w:basedOn w:val="Absatz-Standardschriftart"/>
    <w:uiPriority w:val="99"/>
    <w:semiHidden/>
    <w:unhideWhenUsed/>
    <w:rsid w:val="00D41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0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0AE"/>
    <w:rPr>
      <w:rFonts w:ascii="Cambria" w:eastAsia="MS Mincho" w:hAnsi="Cambria" w:cs="Cambria"/>
      <w:sz w:val="20"/>
      <w:szCs w:val="20"/>
      <w:lang w:val="fr-FR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0AE"/>
    <w:rPr>
      <w:rFonts w:ascii="Cambria" w:eastAsia="MS Mincho" w:hAnsi="Cambria" w:cs="Cambria"/>
      <w:b/>
      <w:bCs/>
      <w:sz w:val="20"/>
      <w:szCs w:val="20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face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ustine.lansac@cof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krellenstein@cofa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5AC7-BCE6-44F1-8201-FE43CCBB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COFACE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COMBEAU Cecile</dc:creator>
  <cp:lastModifiedBy>User</cp:lastModifiedBy>
  <cp:revision>10</cp:revision>
  <cp:lastPrinted>2016-02-09T16:02:00Z</cp:lastPrinted>
  <dcterms:created xsi:type="dcterms:W3CDTF">2016-02-25T07:17:00Z</dcterms:created>
  <dcterms:modified xsi:type="dcterms:W3CDTF">2016-03-08T00:47:00Z</dcterms:modified>
</cp:coreProperties>
</file>